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B266B0" w:rsidR="00A209D6" w:rsidP="00F263B8" w:rsidRDefault="00A209D6" w14:paraId="41706FA2" w14:textId="668DF4E2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C1B7B">
        <w:rPr>
          <w:bCs/>
          <w:noProof w:val="0"/>
          <w:sz w:val="24"/>
          <w:szCs w:val="24"/>
        </w:rPr>
        <w:t>5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FF4E0C">
        <w:rPr>
          <w:bCs/>
          <w:noProof w:val="0"/>
          <w:sz w:val="24"/>
          <w:szCs w:val="24"/>
        </w:rPr>
        <w:t>7526</w:t>
      </w:r>
    </w:p>
    <w:p w:rsidRPr="00465587" w:rsidR="00A209D6" w:rsidP="00F263B8" w:rsidRDefault="009928A9" w14:paraId="11776FA6" w14:textId="660A437B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 w:rsid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23740">
        <w:rPr>
          <w:rFonts w:eastAsia="SimSun"/>
          <w:bCs/>
          <w:sz w:val="24"/>
          <w:szCs w:val="24"/>
          <w:lang w:eastAsia="zh-CN"/>
        </w:rPr>
        <w:t>1</w:t>
      </w:r>
      <w:r w:rsidR="002C1B7B">
        <w:rPr>
          <w:rFonts w:eastAsia="SimSun"/>
          <w:bCs/>
          <w:sz w:val="24"/>
          <w:szCs w:val="24"/>
          <w:lang w:eastAsia="zh-CN"/>
        </w:rPr>
        <w:t>6</w:t>
      </w:r>
      <w:r w:rsidR="00923740">
        <w:rPr>
          <w:rFonts w:eastAsia="SimSun"/>
          <w:bCs/>
          <w:sz w:val="24"/>
          <w:szCs w:val="24"/>
          <w:lang w:eastAsia="zh-CN"/>
        </w:rPr>
        <w:t xml:space="preserve"> – 2</w:t>
      </w:r>
      <w:r w:rsidR="003C531A">
        <w:rPr>
          <w:rFonts w:eastAsia="SimSun"/>
          <w:bCs/>
          <w:sz w:val="24"/>
          <w:szCs w:val="24"/>
          <w:lang w:eastAsia="zh-CN"/>
        </w:rPr>
        <w:t>7</w:t>
      </w:r>
      <w:r w:rsidR="00923740">
        <w:rPr>
          <w:rFonts w:eastAsia="SimSun"/>
          <w:bCs/>
          <w:sz w:val="24"/>
          <w:szCs w:val="24"/>
          <w:lang w:eastAsia="zh-CN"/>
        </w:rPr>
        <w:t xml:space="preserve"> of </w:t>
      </w:r>
      <w:r w:rsidR="002C1B7B">
        <w:rPr>
          <w:rFonts w:eastAsia="SimSun"/>
          <w:bCs/>
          <w:sz w:val="24"/>
          <w:szCs w:val="24"/>
          <w:lang w:eastAsia="zh-CN"/>
        </w:rPr>
        <w:t>August</w:t>
      </w:r>
      <w:r w:rsidR="00923740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:rsidRPr="00B266B0" w:rsidR="00A209D6" w:rsidP="00F263B8" w:rsidRDefault="00A209D6" w14:paraId="2E02E5F5" w14:textId="77777777">
      <w:pPr>
        <w:pStyle w:val="Header"/>
        <w:jc w:val="both"/>
        <w:rPr>
          <w:bCs/>
          <w:noProof w:val="0"/>
          <w:sz w:val="24"/>
        </w:rPr>
      </w:pPr>
    </w:p>
    <w:p w:rsidRPr="00B266B0" w:rsidR="00A209D6" w:rsidP="00F263B8" w:rsidRDefault="00A209D6" w14:paraId="403CB9C0" w14:textId="77777777">
      <w:pPr>
        <w:pStyle w:val="Header"/>
        <w:jc w:val="both"/>
        <w:rPr>
          <w:bCs/>
          <w:noProof w:val="0"/>
          <w:sz w:val="24"/>
        </w:rPr>
      </w:pPr>
    </w:p>
    <w:p w:rsidRPr="00B266B0" w:rsidR="00A209D6" w:rsidP="00F263B8" w:rsidRDefault="00A209D6" w14:paraId="74AEDB1B" w14:textId="6EF85E43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C0BFA">
        <w:rPr>
          <w:rFonts w:cs="Arial"/>
          <w:b/>
          <w:bCs/>
          <w:sz w:val="24"/>
          <w:lang w:eastAsia="ja-JP"/>
        </w:rPr>
        <w:t>6</w:t>
      </w:r>
      <w:r w:rsidR="00923740">
        <w:rPr>
          <w:rFonts w:cs="Arial"/>
          <w:b/>
          <w:bCs/>
          <w:sz w:val="24"/>
          <w:lang w:eastAsia="ja-JP"/>
        </w:rPr>
        <w:t>.</w:t>
      </w:r>
      <w:r w:rsidR="00FF4E0C">
        <w:rPr>
          <w:rFonts w:cs="Arial"/>
          <w:b/>
          <w:bCs/>
          <w:sz w:val="24"/>
          <w:lang w:eastAsia="ja-JP"/>
        </w:rPr>
        <w:t>1.4.1.1</w:t>
      </w:r>
    </w:p>
    <w:p w:rsidRPr="00B266B0" w:rsidR="00A209D6" w:rsidP="00F263B8" w:rsidRDefault="00A209D6" w14:paraId="73188B46" w14:textId="7777777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A209D6" w:rsidP="00F263B8" w:rsidRDefault="00A209D6" w14:paraId="0FA3EF00" w14:textId="0C68E7A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A7E97">
        <w:rPr>
          <w:rFonts w:ascii="Arial" w:hAnsi="Arial" w:cs="Arial"/>
          <w:b/>
          <w:bCs/>
          <w:sz w:val="24"/>
        </w:rPr>
        <w:t xml:space="preserve">On </w:t>
      </w:r>
      <w:r w:rsidR="005C0BFA">
        <w:rPr>
          <w:rFonts w:ascii="Arial" w:hAnsi="Arial" w:cs="Arial"/>
          <w:b/>
          <w:bCs/>
          <w:sz w:val="24"/>
        </w:rPr>
        <w:t>supporting CHO with SCG configuration</w:t>
      </w:r>
    </w:p>
    <w:p w:rsidRPr="00B266B0" w:rsidR="00A209D6" w:rsidP="00F263B8" w:rsidRDefault="00A209D6" w14:paraId="1F147C23" w14:textId="682EC370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5C0BFA" w:rsidR="005C0BFA">
        <w:rPr>
          <w:rFonts w:ascii="Arial" w:hAnsi="Arial" w:cs="Arial"/>
          <w:b/>
          <w:bCs/>
          <w:sz w:val="24"/>
        </w:rPr>
        <w:t>NR_Mob_enh</w:t>
      </w:r>
      <w:proofErr w:type="spellEnd"/>
      <w:r w:rsidRPr="005C0BFA" w:rsidR="005C0BFA">
        <w:rPr>
          <w:rFonts w:ascii="Arial" w:hAnsi="Arial" w:cs="Arial"/>
          <w:b/>
          <w:bCs/>
          <w:sz w:val="24"/>
        </w:rPr>
        <w:t>-Core</w:t>
      </w:r>
      <w:r w:rsidRPr="005C0BFA" w:rsidDel="005C0BFA" w:rsidR="005C0BFA">
        <w:rPr>
          <w:rFonts w:ascii="Arial" w:hAnsi="Arial" w:cs="Arial"/>
          <w:b/>
          <w:bCs/>
          <w:sz w:val="24"/>
        </w:rPr>
        <w:t xml:space="preserve"> </w:t>
      </w:r>
      <w:r w:rsidR="00923740">
        <w:rPr>
          <w:rFonts w:ascii="Arial" w:hAnsi="Arial" w:cs="Arial"/>
          <w:b/>
          <w:bCs/>
          <w:sz w:val="24"/>
        </w:rPr>
        <w:t>- Release 1</w:t>
      </w:r>
      <w:r w:rsidR="005C0BFA">
        <w:rPr>
          <w:rFonts w:ascii="Arial" w:hAnsi="Arial" w:cs="Arial"/>
          <w:b/>
          <w:bCs/>
          <w:sz w:val="24"/>
        </w:rPr>
        <w:t>6</w:t>
      </w:r>
    </w:p>
    <w:p w:rsidRPr="00B266B0" w:rsidR="00A209D6" w:rsidP="00F263B8" w:rsidRDefault="00A209D6" w14:paraId="6FEB19D6" w14:textId="777777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>Discussion and Decision</w:t>
      </w:r>
    </w:p>
    <w:p w:rsidRPr="006E13D1" w:rsidR="00A209D6" w:rsidP="00F263B8" w:rsidRDefault="00A209D6" w14:paraId="294B1FC1" w14:textId="77777777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:rsidR="00923740" w:rsidP="00F263B8" w:rsidRDefault="005C0BFA" w14:paraId="50F2C746" w14:textId="44024DDE">
      <w:pPr>
        <w:jc w:val="both"/>
      </w:pPr>
      <w:r>
        <w:t xml:space="preserve">During the Rel-16 </w:t>
      </w:r>
      <w:proofErr w:type="spellStart"/>
      <w:r>
        <w:t>MobEnh</w:t>
      </w:r>
      <w:proofErr w:type="spellEnd"/>
      <w:r>
        <w:t xml:space="preserve"> WI the following has been agreed for CHO with SCG configuration</w:t>
      </w:r>
      <w:r w:rsidR="003A3930">
        <w:t>:</w:t>
      </w:r>
      <w:r w:rsidR="0092374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1370" w:rsidTr="00B71370" w14:paraId="77351A2F" w14:textId="77777777">
        <w:tc>
          <w:tcPr>
            <w:tcW w:w="9631" w:type="dxa"/>
          </w:tcPr>
          <w:p w:rsidR="00B71370" w:rsidP="00D95FEE" w:rsidRDefault="005C0BFA" w14:paraId="3C788939" w14:textId="40708476">
            <w:pPr>
              <w:jc w:val="both"/>
            </w:pPr>
            <w:r>
              <w:t>2 We will not preclude SCG configuration in RRC Reconfiguration with conditional reconfiguration. Limit to cases without RAN3 impact.</w:t>
            </w:r>
          </w:p>
        </w:tc>
      </w:tr>
    </w:tbl>
    <w:p w:rsidR="003C531A" w:rsidP="00F263B8" w:rsidRDefault="00C219A0" w14:paraId="6107FFF1" w14:textId="4DE50A59">
      <w:pPr>
        <w:jc w:val="both"/>
      </w:pPr>
      <w:r>
        <w:br/>
      </w:r>
      <w:r w:rsidR="005C0BFA">
        <w:t>At RAN2#113bis (April 2021) it has been decided to check with RAN3 whether such support is ensured in the specification. The LS in [1] has been sent. RAN3 has responded to our LS in [2]. This paper provides our further view concerning the CHO with SCG configuration.</w:t>
      </w:r>
    </w:p>
    <w:p w:rsidRPr="006E13D1" w:rsidR="00A209D6" w:rsidP="00F263B8" w:rsidRDefault="00A209D6" w14:paraId="4F547731" w14:textId="791FEED7">
      <w:pPr>
        <w:pStyle w:val="Heading1"/>
        <w:jc w:val="both"/>
      </w:pPr>
      <w:r w:rsidRPr="006E13D1">
        <w:t>2</w:t>
      </w:r>
      <w:r w:rsidRPr="006E13D1">
        <w:tab/>
      </w:r>
      <w:r w:rsidR="00C219A0">
        <w:t>Discussion</w:t>
      </w:r>
    </w:p>
    <w:p w:rsidR="00694484" w:rsidP="00E94B0C" w:rsidRDefault="00121D07" w14:paraId="5913FA62" w14:textId="7F1B5F57">
      <w:pPr>
        <w:jc w:val="both"/>
      </w:pPr>
      <w:r>
        <w:t xml:space="preserve">Including SCG configuration in RRC Reconfiguration providing </w:t>
      </w:r>
      <w:r w:rsidR="00694484">
        <w:t>CHO</w:t>
      </w:r>
      <w:r>
        <w:t xml:space="preserve"> </w:t>
      </w:r>
      <w:r w:rsidR="00694484">
        <w:t>could be desired in order to enable multi-connectivity at the same time</w:t>
      </w:r>
      <w:r w:rsidR="00490B20">
        <w:t xml:space="preserve"> (or soon after)</w:t>
      </w:r>
      <w:r w:rsidR="00694484">
        <w:t xml:space="preserve"> when </w:t>
      </w:r>
      <w:proofErr w:type="spellStart"/>
      <w:r w:rsidR="00694484">
        <w:t>PCell</w:t>
      </w:r>
      <w:proofErr w:type="spellEnd"/>
      <w:r w:rsidR="00694484">
        <w:t xml:space="preserve"> mobility is commanded. Thanks to this, additional signalling over </w:t>
      </w:r>
      <w:proofErr w:type="spellStart"/>
      <w:r w:rsidR="00694484">
        <w:t>Uu</w:t>
      </w:r>
      <w:proofErr w:type="spellEnd"/>
      <w:r w:rsidR="00694484">
        <w:t xml:space="preserve"> interface is avoided and the UE may setup its SCG soon after it completes the CHO execution. </w:t>
      </w:r>
    </w:p>
    <w:p w:rsidRPr="000C5EC9" w:rsidR="00694484" w:rsidP="00E94B0C" w:rsidRDefault="00694484" w14:paraId="7255C1D8" w14:textId="67B4AC82">
      <w:pPr>
        <w:jc w:val="both"/>
        <w:rPr>
          <w:b/>
          <w:bCs/>
        </w:rPr>
      </w:pPr>
      <w:r w:rsidRPr="000C5EC9">
        <w:rPr>
          <w:b/>
          <w:bCs/>
        </w:rPr>
        <w:t>Observation 1:</w:t>
      </w:r>
      <w:r w:rsidRPr="000C5EC9" w:rsidR="00DF64DF">
        <w:rPr>
          <w:b/>
          <w:bCs/>
        </w:rPr>
        <w:t xml:space="preserve"> Enabling SCG configuration in CHO command will lead to reduced signalling over </w:t>
      </w:r>
      <w:proofErr w:type="spellStart"/>
      <w:r w:rsidRPr="000C5EC9" w:rsidR="00DF64DF">
        <w:rPr>
          <w:b/>
          <w:bCs/>
        </w:rPr>
        <w:t>Uu</w:t>
      </w:r>
      <w:proofErr w:type="spellEnd"/>
      <w:r w:rsidRPr="000C5EC9" w:rsidR="00DF64DF">
        <w:rPr>
          <w:b/>
          <w:bCs/>
        </w:rPr>
        <w:t xml:space="preserve"> and faster setup of multi connectivity.</w:t>
      </w:r>
    </w:p>
    <w:p w:rsidR="0049136E" w:rsidP="00E94B0C" w:rsidRDefault="0049136E" w14:paraId="5BFF338E" w14:textId="1BEE82E0">
      <w:pPr>
        <w:jc w:val="both"/>
      </w:pPr>
      <w:r>
        <w:t xml:space="preserve">It is worth noting that HO with </w:t>
      </w:r>
      <w:proofErr w:type="spellStart"/>
      <w:r>
        <w:t>PSCell</w:t>
      </w:r>
      <w:proofErr w:type="spellEnd"/>
      <w:r>
        <w:t xml:space="preserve"> addition/change is supported since Rel-15, so extending that to CHO </w:t>
      </w:r>
      <w:r w:rsidR="00A51408">
        <w:t>shall not be regarded as introducing a completely</w:t>
      </w:r>
      <w:r>
        <w:t xml:space="preserve"> new functionality.</w:t>
      </w:r>
    </w:p>
    <w:p w:rsidRPr="000C5EC9" w:rsidR="00585926" w:rsidP="00E94B0C" w:rsidRDefault="0049136E" w14:paraId="3FA8F3D6" w14:textId="76B09EF9">
      <w:pPr>
        <w:jc w:val="both"/>
        <w:rPr>
          <w:b/>
          <w:bCs/>
        </w:rPr>
      </w:pPr>
      <w:r w:rsidRPr="000C5EC9">
        <w:rPr>
          <w:b/>
          <w:bCs/>
        </w:rPr>
        <w:t>Observation 2:</w:t>
      </w:r>
      <w:r w:rsidRPr="000C5EC9" w:rsidR="00A51408">
        <w:rPr>
          <w:b/>
          <w:bCs/>
        </w:rPr>
        <w:t xml:space="preserve"> HO with </w:t>
      </w:r>
      <w:proofErr w:type="spellStart"/>
      <w:r w:rsidRPr="000C5EC9" w:rsidR="00A51408">
        <w:rPr>
          <w:b/>
          <w:bCs/>
        </w:rPr>
        <w:t>PSCell</w:t>
      </w:r>
      <w:proofErr w:type="spellEnd"/>
      <w:r w:rsidRPr="000C5EC9" w:rsidR="00A51408">
        <w:rPr>
          <w:b/>
          <w:bCs/>
        </w:rPr>
        <w:t xml:space="preserve"> change or addition is supported since Rel-15, so applying </w:t>
      </w:r>
      <w:r w:rsidRPr="000C5EC9" w:rsidR="000C5EC9">
        <w:rPr>
          <w:b/>
          <w:bCs/>
        </w:rPr>
        <w:t xml:space="preserve">a </w:t>
      </w:r>
      <w:r w:rsidRPr="000C5EC9" w:rsidR="00A51408">
        <w:rPr>
          <w:b/>
          <w:bCs/>
        </w:rPr>
        <w:t xml:space="preserve">similar mechanism to CHO </w:t>
      </w:r>
      <w:r w:rsidRPr="000C5EC9" w:rsidR="000C5EC9">
        <w:rPr>
          <w:b/>
          <w:bCs/>
        </w:rPr>
        <w:t>should be</w:t>
      </w:r>
      <w:r w:rsidRPr="000C5EC9" w:rsidR="00A51408">
        <w:rPr>
          <w:b/>
          <w:bCs/>
        </w:rPr>
        <w:t xml:space="preserve"> </w:t>
      </w:r>
      <w:r w:rsidRPr="000C5EC9" w:rsidR="000C5EC9">
        <w:rPr>
          <w:b/>
          <w:bCs/>
        </w:rPr>
        <w:t>an obvious follow-up decision.</w:t>
      </w:r>
    </w:p>
    <w:p w:rsidR="000C5EC9" w:rsidP="00E94B0C" w:rsidRDefault="000C5EC9" w14:paraId="70CFAEB7" w14:textId="0FB65175">
      <w:pPr>
        <w:jc w:val="both"/>
      </w:pPr>
      <w:r>
        <w:t>In Rel-16 discussions some were arguing that the execution time of CHO is uncertain, so how can the network predict which SCG to configure.</w:t>
      </w:r>
      <w:r w:rsidR="00672697">
        <w:t xml:space="preserve"> However, it should be underlined that CHO may be also configured with a single candidate cell only and the network usually knows which SCG matches well the configured candidate </w:t>
      </w:r>
      <w:proofErr w:type="spellStart"/>
      <w:r w:rsidR="00672697">
        <w:t>PSCell</w:t>
      </w:r>
      <w:proofErr w:type="spellEnd"/>
      <w:r w:rsidR="00672697">
        <w:t>. Thus, such combination of CHO and SCG shall be feasible in many network deployments.</w:t>
      </w:r>
    </w:p>
    <w:p w:rsidRPr="006E3D08" w:rsidR="00672697" w:rsidP="00E94B0C" w:rsidRDefault="00672697" w14:paraId="605F9FE9" w14:textId="69A69B39">
      <w:pPr>
        <w:jc w:val="both"/>
        <w:rPr>
          <w:b/>
          <w:bCs/>
        </w:rPr>
      </w:pPr>
      <w:r w:rsidRPr="006E3D08">
        <w:rPr>
          <w:b/>
          <w:bCs/>
        </w:rPr>
        <w:t>Observation 3:</w:t>
      </w:r>
      <w:r w:rsidRPr="006E3D08" w:rsidR="006E3D08">
        <w:rPr>
          <w:b/>
          <w:bCs/>
        </w:rPr>
        <w:t xml:space="preserve"> The network knows which SCG is to be configured with candidate CHO </w:t>
      </w:r>
      <w:proofErr w:type="spellStart"/>
      <w:r w:rsidRPr="006E3D08" w:rsidR="006E3D08">
        <w:rPr>
          <w:b/>
          <w:bCs/>
        </w:rPr>
        <w:t>PCell</w:t>
      </w:r>
      <w:proofErr w:type="spellEnd"/>
      <w:r w:rsidRPr="006E3D08" w:rsidR="006E3D08">
        <w:rPr>
          <w:b/>
          <w:bCs/>
        </w:rPr>
        <w:t xml:space="preserve">. A single candidate CHO </w:t>
      </w:r>
      <w:proofErr w:type="spellStart"/>
      <w:r w:rsidRPr="006E3D08" w:rsidR="006E3D08">
        <w:rPr>
          <w:b/>
          <w:bCs/>
        </w:rPr>
        <w:t>PCell</w:t>
      </w:r>
      <w:proofErr w:type="spellEnd"/>
      <w:r w:rsidRPr="006E3D08" w:rsidR="006E3D08">
        <w:rPr>
          <w:b/>
          <w:bCs/>
        </w:rPr>
        <w:t xml:space="preserve"> may be configured to the UE. </w:t>
      </w:r>
    </w:p>
    <w:p w:rsidR="00584394" w:rsidP="00E94B0C" w:rsidRDefault="00672697" w14:paraId="57E57554" w14:textId="1F7634CF">
      <w:pPr>
        <w:jc w:val="both"/>
      </w:pPr>
      <w:r>
        <w:t>RAN3 in their</w:t>
      </w:r>
      <w:r w:rsidR="00DD3E12">
        <w:t xml:space="preserve"> LS</w:t>
      </w:r>
      <w:r>
        <w:t xml:space="preserve"> [2] has indicated th</w:t>
      </w:r>
      <w:r w:rsidR="006E3D08">
        <w:t xml:space="preserve">ere is no suitable signalling available to support the CHO with SCG configuration cases outlined by RAN2 in </w:t>
      </w:r>
      <w:r w:rsidR="00D36B7E">
        <w:t>the</w:t>
      </w:r>
      <w:r w:rsidR="006E3D08">
        <w:t xml:space="preserve"> initial LS [1]. Nevertheless, </w:t>
      </w:r>
      <w:r w:rsidR="00D36B7E">
        <w:t xml:space="preserve">the Action in [2] clearly indicates RAN3 is able to specify the support for these scenarios in Rel-16. All that is needed is an explicit indication from RAN2 that such support would </w:t>
      </w:r>
      <w:r w:rsidR="00584394">
        <w:t xml:space="preserve">be required. </w:t>
      </w:r>
    </w:p>
    <w:p w:rsidRPr="00584394" w:rsidR="00584394" w:rsidP="00E94B0C" w:rsidRDefault="00584394" w14:paraId="00C07CD4" w14:textId="4D6DCF1D">
      <w:pPr>
        <w:jc w:val="both"/>
        <w:rPr>
          <w:b/>
          <w:bCs/>
        </w:rPr>
      </w:pPr>
      <w:r w:rsidRPr="00584394">
        <w:rPr>
          <w:b/>
          <w:bCs/>
        </w:rPr>
        <w:t>Observation 4: RAN3 in their LS (R3-212848)</w:t>
      </w:r>
      <w:r w:rsidRPr="00584394" w:rsidR="00D36B7E">
        <w:rPr>
          <w:b/>
          <w:bCs/>
        </w:rPr>
        <w:t xml:space="preserve"> </w:t>
      </w:r>
      <w:r w:rsidRPr="00584394">
        <w:rPr>
          <w:b/>
          <w:bCs/>
        </w:rPr>
        <w:t>indicates it is feasible to introduce signalling for supporting CHO with SCG configuration in Rel-16.</w:t>
      </w:r>
    </w:p>
    <w:p w:rsidR="008D1A22" w:rsidP="00E94B0C" w:rsidRDefault="00584394" w14:paraId="6CCCCFA9" w14:textId="77777777">
      <w:pPr>
        <w:jc w:val="both"/>
      </w:pPr>
      <w:r>
        <w:t>In our understanding, the</w:t>
      </w:r>
      <w:r w:rsidR="00672697">
        <w:t xml:space="preserve"> </w:t>
      </w:r>
      <w:r>
        <w:t xml:space="preserve">required changes are rather straightforward and shall be limited to informing the Secondary Node that UE will not immediately access the configured </w:t>
      </w:r>
      <w:proofErr w:type="spellStart"/>
      <w:r>
        <w:t>PSCell</w:t>
      </w:r>
      <w:proofErr w:type="spellEnd"/>
      <w:r>
        <w:t>, as this is subject to CHO execution condition fulfilment. The exact scope of the changes is obviously up to RAN3</w:t>
      </w:r>
      <w:r w:rsidR="008D1A22">
        <w:t>, but we think it is fair to conclude such change should be pursued for the completeness of Rel-16 specification.</w:t>
      </w:r>
    </w:p>
    <w:p w:rsidRPr="008D1A22" w:rsidR="008D1A22" w:rsidP="00E94B0C" w:rsidRDefault="008D1A22" w14:paraId="44C6A113" w14:textId="633B1ADB">
      <w:pPr>
        <w:jc w:val="both"/>
        <w:rPr>
          <w:b/>
          <w:bCs/>
        </w:rPr>
      </w:pPr>
      <w:r w:rsidRPr="008D1A22">
        <w:rPr>
          <w:b/>
          <w:bCs/>
        </w:rPr>
        <w:lastRenderedPageBreak/>
        <w:t>Proposal 1: CHO with SCG configuration is supported in Rel-16</w:t>
      </w:r>
      <w:r>
        <w:rPr>
          <w:b/>
          <w:bCs/>
        </w:rPr>
        <w:t xml:space="preserve"> despite </w:t>
      </w:r>
      <w:r w:rsidR="00DD3E12">
        <w:rPr>
          <w:b/>
          <w:bCs/>
        </w:rPr>
        <w:t xml:space="preserve">minor </w:t>
      </w:r>
      <w:r>
        <w:rPr>
          <w:b/>
          <w:bCs/>
        </w:rPr>
        <w:t>RAN3 impacts</w:t>
      </w:r>
      <w:r w:rsidRPr="008D1A22">
        <w:rPr>
          <w:b/>
          <w:bCs/>
        </w:rPr>
        <w:t>.</w:t>
      </w:r>
    </w:p>
    <w:p w:rsidR="008D1A22" w:rsidP="00E94B0C" w:rsidRDefault="008D1A22" w14:paraId="7F9D5488" w14:textId="77777777">
      <w:pPr>
        <w:jc w:val="both"/>
      </w:pPr>
      <w:r>
        <w:t>RAN2 is therefore asked to inform RAN3 about the conclusion reached and kindly request RAN3 to introduce required specification changes. A corresponding response LS has been prepared in [3].</w:t>
      </w:r>
    </w:p>
    <w:p w:rsidRPr="008D1A22" w:rsidR="00672697" w:rsidP="00E94B0C" w:rsidRDefault="008D1A22" w14:paraId="4E6B062E" w14:textId="33E0B9E9">
      <w:pPr>
        <w:jc w:val="both"/>
        <w:rPr>
          <w:b/>
          <w:bCs/>
        </w:rPr>
      </w:pPr>
      <w:r w:rsidRPr="008D1A22">
        <w:rPr>
          <w:b/>
          <w:bCs/>
        </w:rPr>
        <w:t xml:space="preserve">Proposal 2: Send the response LS to RAN3. Draft is available in [3]. </w:t>
      </w:r>
      <w:r w:rsidRPr="008D1A22" w:rsidR="00584394">
        <w:rPr>
          <w:b/>
          <w:bCs/>
        </w:rPr>
        <w:t xml:space="preserve">   </w:t>
      </w:r>
    </w:p>
    <w:p w:rsidRPr="006E13D1" w:rsidR="00A209D6" w:rsidP="00F263B8" w:rsidRDefault="00C219A0" w14:paraId="5FF2457F" w14:textId="6D703788">
      <w:pPr>
        <w:pStyle w:val="Heading1"/>
        <w:jc w:val="both"/>
      </w:pPr>
      <w:r>
        <w:t>3</w:t>
      </w:r>
      <w:r w:rsidRPr="006E13D1" w:rsidR="00A209D6">
        <w:tab/>
      </w:r>
      <w:r w:rsidR="008C3057">
        <w:t>Conclusion</w:t>
      </w:r>
    </w:p>
    <w:p w:rsidR="000349F2" w:rsidP="0094547C" w:rsidRDefault="00C219A0" w14:paraId="2BDE14B9" w14:textId="60116408">
      <w:pPr>
        <w:jc w:val="both"/>
      </w:pPr>
      <w:r>
        <w:t xml:space="preserve">This paper considered </w:t>
      </w:r>
      <w:r w:rsidR="0094547C">
        <w:t>CHO with SCG configuration for 3GPP Rel-16. The following observations and proposals have been made:</w:t>
      </w:r>
    </w:p>
    <w:p w:rsidR="00133A31" w:rsidP="00133A31" w:rsidRDefault="00133A31" w14:paraId="0EE63A56" w14:textId="3324D74F">
      <w:pPr>
        <w:jc w:val="both"/>
        <w:rPr>
          <w:b/>
          <w:bCs/>
        </w:rPr>
      </w:pPr>
      <w:r w:rsidRPr="000C5EC9">
        <w:rPr>
          <w:b/>
          <w:bCs/>
        </w:rPr>
        <w:t xml:space="preserve">Observation 1: Enabling SCG configuration in CHO command will lead to reduced signalling over </w:t>
      </w:r>
      <w:proofErr w:type="spellStart"/>
      <w:r w:rsidRPr="000C5EC9">
        <w:rPr>
          <w:b/>
          <w:bCs/>
        </w:rPr>
        <w:t>Uu</w:t>
      </w:r>
      <w:proofErr w:type="spellEnd"/>
      <w:r w:rsidRPr="000C5EC9">
        <w:rPr>
          <w:b/>
          <w:bCs/>
        </w:rPr>
        <w:t xml:space="preserve"> and faster setup of multi connectivity.</w:t>
      </w:r>
    </w:p>
    <w:p w:rsidRPr="000C5EC9" w:rsidR="00133A31" w:rsidP="00133A31" w:rsidRDefault="00133A31" w14:paraId="5D43A872" w14:textId="77777777">
      <w:pPr>
        <w:jc w:val="both"/>
        <w:rPr>
          <w:b/>
          <w:bCs/>
        </w:rPr>
      </w:pPr>
      <w:r w:rsidRPr="000C5EC9">
        <w:rPr>
          <w:b/>
          <w:bCs/>
        </w:rPr>
        <w:t xml:space="preserve">Observation 2: HO with </w:t>
      </w:r>
      <w:proofErr w:type="spellStart"/>
      <w:r w:rsidRPr="000C5EC9">
        <w:rPr>
          <w:b/>
          <w:bCs/>
        </w:rPr>
        <w:t>PSCell</w:t>
      </w:r>
      <w:proofErr w:type="spellEnd"/>
      <w:r w:rsidRPr="000C5EC9">
        <w:rPr>
          <w:b/>
          <w:bCs/>
        </w:rPr>
        <w:t xml:space="preserve"> change or addition is supported since Rel-15, so applying a similar mechanism to CHO should be an obvious follow-up decision.</w:t>
      </w:r>
    </w:p>
    <w:p w:rsidRPr="006E3D08" w:rsidR="00133A31" w:rsidP="00133A31" w:rsidRDefault="00133A31" w14:paraId="6EEA2401" w14:textId="77777777">
      <w:pPr>
        <w:jc w:val="both"/>
        <w:rPr>
          <w:b/>
          <w:bCs/>
        </w:rPr>
      </w:pPr>
      <w:r w:rsidRPr="006E3D08">
        <w:rPr>
          <w:b/>
          <w:bCs/>
        </w:rPr>
        <w:t xml:space="preserve">Observation 3: The network knows which SCG is to be configured with candidate CHO </w:t>
      </w:r>
      <w:proofErr w:type="spellStart"/>
      <w:r w:rsidRPr="006E3D08">
        <w:rPr>
          <w:b/>
          <w:bCs/>
        </w:rPr>
        <w:t>PCell</w:t>
      </w:r>
      <w:proofErr w:type="spellEnd"/>
      <w:r w:rsidRPr="006E3D08">
        <w:rPr>
          <w:b/>
          <w:bCs/>
        </w:rPr>
        <w:t xml:space="preserve">. A single candidate CHO </w:t>
      </w:r>
      <w:proofErr w:type="spellStart"/>
      <w:r w:rsidRPr="006E3D08">
        <w:rPr>
          <w:b/>
          <w:bCs/>
        </w:rPr>
        <w:t>PCell</w:t>
      </w:r>
      <w:proofErr w:type="spellEnd"/>
      <w:r w:rsidRPr="006E3D08">
        <w:rPr>
          <w:b/>
          <w:bCs/>
        </w:rPr>
        <w:t xml:space="preserve"> may be configured to the UE. </w:t>
      </w:r>
    </w:p>
    <w:p w:rsidRPr="00584394" w:rsidR="00133A31" w:rsidP="00133A31" w:rsidRDefault="00133A31" w14:paraId="2C5193F7" w14:textId="77777777">
      <w:pPr>
        <w:jc w:val="both"/>
        <w:rPr>
          <w:b/>
          <w:bCs/>
        </w:rPr>
      </w:pPr>
      <w:r w:rsidRPr="00584394">
        <w:rPr>
          <w:b/>
          <w:bCs/>
        </w:rPr>
        <w:t>Observation 4: RAN3 in their LS (R3-212848) indicates it is feasible to introduce signalling for supporting CHO with SCG configuration in Rel-16.</w:t>
      </w:r>
    </w:p>
    <w:p w:rsidRPr="008D1A22" w:rsidR="00133A31" w:rsidP="00133A31" w:rsidRDefault="00133A31" w14:paraId="13935E61" w14:textId="53D1732F">
      <w:pPr>
        <w:jc w:val="both"/>
        <w:rPr>
          <w:b/>
          <w:bCs/>
        </w:rPr>
      </w:pPr>
      <w:r w:rsidRPr="008D1A22">
        <w:rPr>
          <w:b/>
          <w:bCs/>
        </w:rPr>
        <w:t>Proposal 1: CHO with SCG configuration is supported in Rel-16</w:t>
      </w:r>
      <w:r>
        <w:rPr>
          <w:b/>
          <w:bCs/>
        </w:rPr>
        <w:t xml:space="preserve"> despite </w:t>
      </w:r>
      <w:r w:rsidR="00DD3E12">
        <w:rPr>
          <w:b/>
          <w:bCs/>
        </w:rPr>
        <w:t xml:space="preserve">minor </w:t>
      </w:r>
      <w:r>
        <w:rPr>
          <w:b/>
          <w:bCs/>
        </w:rPr>
        <w:t>RAN3 impacts</w:t>
      </w:r>
      <w:r w:rsidRPr="008D1A22">
        <w:rPr>
          <w:b/>
          <w:bCs/>
        </w:rPr>
        <w:t>.</w:t>
      </w:r>
    </w:p>
    <w:p w:rsidRPr="00D12FE1" w:rsidR="0094547C" w:rsidP="0094547C" w:rsidRDefault="00133A31" w14:paraId="1637622C" w14:textId="27E3B049">
      <w:pPr>
        <w:jc w:val="both"/>
        <w:rPr>
          <w:b/>
          <w:bCs/>
        </w:rPr>
      </w:pPr>
      <w:r w:rsidRPr="008D1A22">
        <w:rPr>
          <w:b/>
          <w:bCs/>
        </w:rPr>
        <w:t xml:space="preserve">Proposal 2: Send the response LS to RAN3. Draft is available in [3].    </w:t>
      </w:r>
    </w:p>
    <w:p w:rsidR="00923740" w:rsidP="00F263B8" w:rsidRDefault="00923740" w14:paraId="21C353FA" w14:textId="3FF695C8">
      <w:pPr>
        <w:pStyle w:val="Heading1"/>
        <w:jc w:val="both"/>
      </w:pPr>
      <w:r>
        <w:t>References</w:t>
      </w:r>
    </w:p>
    <w:p w:rsidR="000306BB" w:rsidP="00DB4BA9" w:rsidRDefault="000306BB" w14:paraId="0CFF63FC" w14:textId="20B34EE0">
      <w:r>
        <w:t>[</w:t>
      </w:r>
      <w:r w:rsidR="007A7E97">
        <w:t>1</w:t>
      </w:r>
      <w:r>
        <w:t xml:space="preserve">] </w:t>
      </w:r>
      <w:r w:rsidRPr="00DB4BA9" w:rsidR="00DB4BA9">
        <w:t>R2-2104348</w:t>
      </w:r>
      <w:r>
        <w:tab/>
      </w:r>
      <w:r w:rsidRPr="00DB4BA9" w:rsidR="00DB4BA9">
        <w:rPr>
          <w:i/>
          <w:iCs/>
        </w:rPr>
        <w:t>LS on Conditional Handover with SCG configuration scenarios</w:t>
      </w:r>
      <w:r w:rsidR="005048A2">
        <w:tab/>
      </w:r>
      <w:r w:rsidR="005048A2">
        <w:t>3GPP</w:t>
      </w:r>
      <w:r w:rsidR="00DB4BA9">
        <w:t xml:space="preserve"> </w:t>
      </w:r>
      <w:r w:rsidR="005048A2">
        <w:t>TSG-RAN WG2 Meeting #113bis electronic, 12 – 20th of April 2021</w:t>
      </w:r>
    </w:p>
    <w:p w:rsidR="008557D7" w:rsidP="00DB4BA9" w:rsidRDefault="008557D7" w14:paraId="04E57B27" w14:textId="67A42341">
      <w:r>
        <w:t>[</w:t>
      </w:r>
      <w:r w:rsidR="007A7E97">
        <w:t>2</w:t>
      </w:r>
      <w:r>
        <w:t xml:space="preserve">] </w:t>
      </w:r>
      <w:r w:rsidRPr="00DB4BA9" w:rsidR="00DB4BA9">
        <w:t>R3-212848</w:t>
      </w:r>
      <w:r w:rsidR="00DB4BA9">
        <w:t xml:space="preserve"> </w:t>
      </w:r>
      <w:r w:rsidRPr="00DB4BA9" w:rsidR="00DB4BA9">
        <w:rPr>
          <w:i/>
          <w:iCs/>
        </w:rPr>
        <w:t xml:space="preserve">Response LS on Conditional Handover with SCG configuration scenarios </w:t>
      </w:r>
      <w:r w:rsidR="0008138E">
        <w:t>3GPP TSG-RAN WG</w:t>
      </w:r>
      <w:r w:rsidR="00DB4BA9">
        <w:t>3</w:t>
      </w:r>
      <w:r w:rsidR="0008138E">
        <w:t xml:space="preserve"> Meeting #11</w:t>
      </w:r>
      <w:r w:rsidR="00DB4BA9">
        <w:t>2</w:t>
      </w:r>
      <w:r w:rsidR="0008138E">
        <w:t xml:space="preserve"> electronic, 1</w:t>
      </w:r>
      <w:r w:rsidR="00DB4BA9">
        <w:t>7</w:t>
      </w:r>
      <w:r w:rsidR="0008138E">
        <w:t xml:space="preserve"> – </w:t>
      </w:r>
      <w:r w:rsidR="000349F2">
        <w:t>27</w:t>
      </w:r>
      <w:r w:rsidR="0008138E">
        <w:t xml:space="preserve">th of </w:t>
      </w:r>
      <w:r w:rsidR="000349F2">
        <w:t>May</w:t>
      </w:r>
      <w:r w:rsidR="0008138E">
        <w:t xml:space="preserve"> 2021</w:t>
      </w:r>
    </w:p>
    <w:p w:rsidR="00121D07" w:rsidP="00DB4BA9" w:rsidRDefault="00121D07" w14:paraId="1EE955F3" w14:textId="7B0B7CC7">
      <w:r>
        <w:t>[3] R2-210</w:t>
      </w:r>
      <w:r w:rsidR="00FF4E0C">
        <w:t>7527</w:t>
      </w:r>
      <w:r>
        <w:t xml:space="preserve"> </w:t>
      </w:r>
      <w:r w:rsidRPr="00121D07">
        <w:rPr>
          <w:i/>
          <w:iCs/>
        </w:rPr>
        <w:t>Response LS on CHO with SCG</w:t>
      </w:r>
      <w:r>
        <w:t xml:space="preserve"> 3GPP TSG-RAN WG2 Meeting #115 electronic, 16 – 27th of August 2021</w:t>
      </w:r>
    </w:p>
    <w:p w:rsidRPr="00DC002B" w:rsidR="00C516D9" w:rsidP="00DC002B" w:rsidRDefault="00C516D9" w14:paraId="5986BB04" w14:textId="69E15757">
      <w:pPr>
        <w:jc w:val="both"/>
      </w:pPr>
    </w:p>
    <w:sectPr w:rsidRPr="00DC002B" w:rsidR="00C516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12FE1" w:rsidRDefault="00D12FE1" w14:paraId="024297FF" w14:textId="77777777">
      <w:r>
        <w:separator/>
      </w:r>
    </w:p>
  </w:endnote>
  <w:endnote w:type="continuationSeparator" w:id="0">
    <w:p w:rsidR="00D12FE1" w:rsidRDefault="00D12FE1" w14:paraId="218BD82E" w14:textId="77777777">
      <w:r>
        <w:continuationSeparator/>
      </w:r>
    </w:p>
  </w:endnote>
  <w:endnote w:type="continuationNotice" w:id="1">
    <w:p w:rsidR="00D12FE1" w:rsidRDefault="00D12FE1" w14:paraId="1AC4080C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2FE1" w:rsidRDefault="00D12FE1" w14:paraId="2DD9912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2FE1" w:rsidRDefault="00D12FE1" w14:paraId="166BA5E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2FE1" w:rsidRDefault="00D12FE1" w14:paraId="5006583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12FE1" w:rsidRDefault="00D12FE1" w14:paraId="29D4EDB5" w14:textId="77777777">
      <w:r>
        <w:separator/>
      </w:r>
    </w:p>
  </w:footnote>
  <w:footnote w:type="continuationSeparator" w:id="0">
    <w:p w:rsidR="00D12FE1" w:rsidRDefault="00D12FE1" w14:paraId="431A01AC" w14:textId="77777777">
      <w:r>
        <w:continuationSeparator/>
      </w:r>
    </w:p>
  </w:footnote>
  <w:footnote w:type="continuationNotice" w:id="1">
    <w:p w:rsidR="00D12FE1" w:rsidRDefault="00D12FE1" w14:paraId="5279C84F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2FE1" w:rsidRDefault="00D12FE1" w14:paraId="568506C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2FE1" w:rsidRDefault="00D12FE1" w14:paraId="0349BB0F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2FE1" w:rsidRDefault="00D12FE1" w14:paraId="0E76ECA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E52085"/>
    <w:multiLevelType w:val="hybridMultilevel"/>
    <w:tmpl w:val="9C74BB28"/>
    <w:lvl w:ilvl="0" w:tplc="2EDC32A6">
      <w:start w:val="8"/>
      <w:numFmt w:val="bullet"/>
      <w:lvlText w:val="-"/>
      <w:lvlJc w:val="left"/>
      <w:pPr>
        <w:ind w:left="720" w:hanging="360"/>
      </w:pPr>
      <w:rPr>
        <w:rFonts w:hint="default" w:ascii="Arial" w:hAnsi="Arial" w:eastAsia="MS Mincho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1D6EC2"/>
    <w:multiLevelType w:val="hybridMultilevel"/>
    <w:tmpl w:val="3E5E17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01E5BE0"/>
    <w:multiLevelType w:val="hybridMultilevel"/>
    <w:tmpl w:val="CE202E6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6E0FAE"/>
    <w:multiLevelType w:val="hybridMultilevel"/>
    <w:tmpl w:val="5C583516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28182E"/>
    <w:multiLevelType w:val="hybridMultilevel"/>
    <w:tmpl w:val="B536771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C7939AB"/>
    <w:multiLevelType w:val="hybridMultilevel"/>
    <w:tmpl w:val="31528B9C"/>
    <w:lvl w:ilvl="0" w:tplc="08090001">
      <w:start w:val="1"/>
      <w:numFmt w:val="bullet"/>
      <w:lvlText w:val=""/>
      <w:lvlJc w:val="left"/>
      <w:pPr>
        <w:ind w:left="77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10" w15:restartNumberingAfterBreak="0">
    <w:nsid w:val="3D9F3017"/>
    <w:multiLevelType w:val="hybridMultilevel"/>
    <w:tmpl w:val="3E5E17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6160700"/>
    <w:multiLevelType w:val="hybridMultilevel"/>
    <w:tmpl w:val="51A45BD2"/>
    <w:lvl w:ilvl="0" w:tplc="446C4F3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MS Mincho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hint="default" w:ascii="Arial" w:hAnsi="Arial" w:eastAsia="PMingLiU" w:cs="Arial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 w15:restartNumberingAfterBreak="0">
    <w:nsid w:val="5E187E62"/>
    <w:multiLevelType w:val="hybridMultilevel"/>
    <w:tmpl w:val="8982E0EE"/>
    <w:lvl w:ilvl="0" w:tplc="446C4F3A">
      <w:start w:val="1"/>
      <w:numFmt w:val="bullet"/>
      <w:lvlText w:val="-"/>
      <w:lvlJc w:val="left"/>
      <w:pPr>
        <w:ind w:left="774" w:hanging="360"/>
      </w:pPr>
      <w:rPr>
        <w:rFonts w:hint="default" w:ascii="Arial" w:hAnsi="Arial" w:eastAsia="MS Mincho" w:cs="Arial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16" w15:restartNumberingAfterBreak="0">
    <w:nsid w:val="702048AD"/>
    <w:multiLevelType w:val="hybridMultilevel"/>
    <w:tmpl w:val="9920F37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0913118"/>
    <w:multiLevelType w:val="hybridMultilevel"/>
    <w:tmpl w:val="63646F62"/>
    <w:lvl w:ilvl="0" w:tplc="446C4F3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MS Mincho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12"/>
  </w:num>
  <w:num w:numId="7">
    <w:abstractNumId w:val="13"/>
  </w:num>
  <w:num w:numId="8">
    <w:abstractNumId w:val="11"/>
  </w:num>
  <w:num w:numId="9">
    <w:abstractNumId w:val="17"/>
  </w:num>
  <w:num w:numId="10">
    <w:abstractNumId w:val="15"/>
  </w:num>
  <w:num w:numId="11">
    <w:abstractNumId w:val="2"/>
  </w:num>
  <w:num w:numId="12">
    <w:abstractNumId w:val="10"/>
  </w:num>
  <w:num w:numId="13">
    <w:abstractNumId w:val="6"/>
  </w:num>
  <w:num w:numId="14">
    <w:abstractNumId w:val="3"/>
  </w:num>
  <w:num w:numId="15">
    <w:abstractNumId w:val="16"/>
  </w:num>
  <w:num w:numId="16">
    <w:abstractNumId w:val="4"/>
  </w:num>
  <w:num w:numId="17">
    <w:abstractNumId w:val="14"/>
  </w:num>
  <w:num w:numId="18">
    <w:abstractNumId w:val="9"/>
  </w:num>
  <w:num w:numId="1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46C"/>
    <w:rsid w:val="0001350C"/>
    <w:rsid w:val="000136AD"/>
    <w:rsid w:val="00016557"/>
    <w:rsid w:val="00023C40"/>
    <w:rsid w:val="000306BB"/>
    <w:rsid w:val="00033397"/>
    <w:rsid w:val="000349F2"/>
    <w:rsid w:val="00040095"/>
    <w:rsid w:val="00044E65"/>
    <w:rsid w:val="00056A9B"/>
    <w:rsid w:val="000723C8"/>
    <w:rsid w:val="00073C9C"/>
    <w:rsid w:val="00080512"/>
    <w:rsid w:val="0008138E"/>
    <w:rsid w:val="00081620"/>
    <w:rsid w:val="0008194D"/>
    <w:rsid w:val="00083F2E"/>
    <w:rsid w:val="00086B4C"/>
    <w:rsid w:val="00090468"/>
    <w:rsid w:val="00090F5E"/>
    <w:rsid w:val="00091419"/>
    <w:rsid w:val="000943B5"/>
    <w:rsid w:val="00094568"/>
    <w:rsid w:val="0009792B"/>
    <w:rsid w:val="000B2308"/>
    <w:rsid w:val="000B415A"/>
    <w:rsid w:val="000B5526"/>
    <w:rsid w:val="000B7324"/>
    <w:rsid w:val="000B7BCF"/>
    <w:rsid w:val="000B7FEE"/>
    <w:rsid w:val="000C458A"/>
    <w:rsid w:val="000C522B"/>
    <w:rsid w:val="000C5EC9"/>
    <w:rsid w:val="000C6B64"/>
    <w:rsid w:val="000D0687"/>
    <w:rsid w:val="000D58AB"/>
    <w:rsid w:val="000E1289"/>
    <w:rsid w:val="000E7CA0"/>
    <w:rsid w:val="000F11C2"/>
    <w:rsid w:val="000F51CC"/>
    <w:rsid w:val="00100EE5"/>
    <w:rsid w:val="00112F1A"/>
    <w:rsid w:val="00116847"/>
    <w:rsid w:val="00121D07"/>
    <w:rsid w:val="00121F8E"/>
    <w:rsid w:val="0012443C"/>
    <w:rsid w:val="00127641"/>
    <w:rsid w:val="00130C5D"/>
    <w:rsid w:val="00133A31"/>
    <w:rsid w:val="00143B32"/>
    <w:rsid w:val="00145075"/>
    <w:rsid w:val="00160D68"/>
    <w:rsid w:val="00161C7F"/>
    <w:rsid w:val="001741A0"/>
    <w:rsid w:val="00175FA0"/>
    <w:rsid w:val="00176092"/>
    <w:rsid w:val="0017741A"/>
    <w:rsid w:val="001776B6"/>
    <w:rsid w:val="00184196"/>
    <w:rsid w:val="00194CD0"/>
    <w:rsid w:val="00196C2E"/>
    <w:rsid w:val="001A27BC"/>
    <w:rsid w:val="001A6D3E"/>
    <w:rsid w:val="001A7498"/>
    <w:rsid w:val="001B0C4A"/>
    <w:rsid w:val="001B2E90"/>
    <w:rsid w:val="001B33AD"/>
    <w:rsid w:val="001B3FB9"/>
    <w:rsid w:val="001B49C9"/>
    <w:rsid w:val="001C23F4"/>
    <w:rsid w:val="001C4F79"/>
    <w:rsid w:val="001E0744"/>
    <w:rsid w:val="001E1AA2"/>
    <w:rsid w:val="001E6FCE"/>
    <w:rsid w:val="001F168B"/>
    <w:rsid w:val="001F2805"/>
    <w:rsid w:val="001F431D"/>
    <w:rsid w:val="001F62BB"/>
    <w:rsid w:val="001F68C6"/>
    <w:rsid w:val="001F7831"/>
    <w:rsid w:val="00204045"/>
    <w:rsid w:val="00206638"/>
    <w:rsid w:val="0020712B"/>
    <w:rsid w:val="00211D00"/>
    <w:rsid w:val="00213521"/>
    <w:rsid w:val="00217564"/>
    <w:rsid w:val="0022606D"/>
    <w:rsid w:val="002302A8"/>
    <w:rsid w:val="00231728"/>
    <w:rsid w:val="0023538F"/>
    <w:rsid w:val="00242E8E"/>
    <w:rsid w:val="00244A05"/>
    <w:rsid w:val="002470F1"/>
    <w:rsid w:val="002477E8"/>
    <w:rsid w:val="00250404"/>
    <w:rsid w:val="00260052"/>
    <w:rsid w:val="002610D8"/>
    <w:rsid w:val="00263884"/>
    <w:rsid w:val="00264557"/>
    <w:rsid w:val="002747EC"/>
    <w:rsid w:val="002805BD"/>
    <w:rsid w:val="00282E3C"/>
    <w:rsid w:val="002855BF"/>
    <w:rsid w:val="00292A55"/>
    <w:rsid w:val="002962D7"/>
    <w:rsid w:val="002976A9"/>
    <w:rsid w:val="002A3516"/>
    <w:rsid w:val="002A4683"/>
    <w:rsid w:val="002B2437"/>
    <w:rsid w:val="002B7609"/>
    <w:rsid w:val="002B7C6E"/>
    <w:rsid w:val="002C08BE"/>
    <w:rsid w:val="002C1105"/>
    <w:rsid w:val="002C1B7B"/>
    <w:rsid w:val="002C6D50"/>
    <w:rsid w:val="002E315D"/>
    <w:rsid w:val="002F0D22"/>
    <w:rsid w:val="002F0F87"/>
    <w:rsid w:val="002F31C7"/>
    <w:rsid w:val="003072F4"/>
    <w:rsid w:val="00311B17"/>
    <w:rsid w:val="00312F19"/>
    <w:rsid w:val="00316E97"/>
    <w:rsid w:val="003172DC"/>
    <w:rsid w:val="0032310A"/>
    <w:rsid w:val="00325AE3"/>
    <w:rsid w:val="00326069"/>
    <w:rsid w:val="003318EC"/>
    <w:rsid w:val="00343CCC"/>
    <w:rsid w:val="00346D96"/>
    <w:rsid w:val="00351312"/>
    <w:rsid w:val="0035462D"/>
    <w:rsid w:val="00355781"/>
    <w:rsid w:val="00356A54"/>
    <w:rsid w:val="00360344"/>
    <w:rsid w:val="00363753"/>
    <w:rsid w:val="0036459E"/>
    <w:rsid w:val="00364B41"/>
    <w:rsid w:val="00370557"/>
    <w:rsid w:val="003768E2"/>
    <w:rsid w:val="00376E6A"/>
    <w:rsid w:val="00383096"/>
    <w:rsid w:val="003860EF"/>
    <w:rsid w:val="0039346C"/>
    <w:rsid w:val="00395D6A"/>
    <w:rsid w:val="003A1629"/>
    <w:rsid w:val="003A3930"/>
    <w:rsid w:val="003A41EF"/>
    <w:rsid w:val="003B0177"/>
    <w:rsid w:val="003B40AD"/>
    <w:rsid w:val="003C4E37"/>
    <w:rsid w:val="003C531A"/>
    <w:rsid w:val="003C5325"/>
    <w:rsid w:val="003C7AFC"/>
    <w:rsid w:val="003D33C2"/>
    <w:rsid w:val="003E16BE"/>
    <w:rsid w:val="003E418F"/>
    <w:rsid w:val="003F2A13"/>
    <w:rsid w:val="003F2AA3"/>
    <w:rsid w:val="003F430B"/>
    <w:rsid w:val="003F4E28"/>
    <w:rsid w:val="004006E8"/>
    <w:rsid w:val="00401855"/>
    <w:rsid w:val="0040242C"/>
    <w:rsid w:val="004043E2"/>
    <w:rsid w:val="004076D3"/>
    <w:rsid w:val="00437627"/>
    <w:rsid w:val="00447F8B"/>
    <w:rsid w:val="004542DA"/>
    <w:rsid w:val="00454316"/>
    <w:rsid w:val="0046053C"/>
    <w:rsid w:val="00465587"/>
    <w:rsid w:val="00472587"/>
    <w:rsid w:val="00475E1D"/>
    <w:rsid w:val="00476814"/>
    <w:rsid w:val="00477455"/>
    <w:rsid w:val="00483608"/>
    <w:rsid w:val="0048689F"/>
    <w:rsid w:val="0048721C"/>
    <w:rsid w:val="00487321"/>
    <w:rsid w:val="00490B20"/>
    <w:rsid w:val="0049136E"/>
    <w:rsid w:val="00491993"/>
    <w:rsid w:val="00492D0E"/>
    <w:rsid w:val="004959BA"/>
    <w:rsid w:val="004A04BE"/>
    <w:rsid w:val="004A1F7B"/>
    <w:rsid w:val="004B4986"/>
    <w:rsid w:val="004C44D2"/>
    <w:rsid w:val="004C53F9"/>
    <w:rsid w:val="004D1CE4"/>
    <w:rsid w:val="004D3578"/>
    <w:rsid w:val="004D380D"/>
    <w:rsid w:val="004E213A"/>
    <w:rsid w:val="004F19FB"/>
    <w:rsid w:val="004F4540"/>
    <w:rsid w:val="004F73A7"/>
    <w:rsid w:val="00503171"/>
    <w:rsid w:val="00503D84"/>
    <w:rsid w:val="005048A2"/>
    <w:rsid w:val="00506C28"/>
    <w:rsid w:val="005163CB"/>
    <w:rsid w:val="00522881"/>
    <w:rsid w:val="00531C4C"/>
    <w:rsid w:val="00534DA0"/>
    <w:rsid w:val="00535620"/>
    <w:rsid w:val="005410D8"/>
    <w:rsid w:val="005421D7"/>
    <w:rsid w:val="005438A1"/>
    <w:rsid w:val="00543E6C"/>
    <w:rsid w:val="00544092"/>
    <w:rsid w:val="00547584"/>
    <w:rsid w:val="005524DA"/>
    <w:rsid w:val="005533EA"/>
    <w:rsid w:val="005613B2"/>
    <w:rsid w:val="00565087"/>
    <w:rsid w:val="00565371"/>
    <w:rsid w:val="0056573F"/>
    <w:rsid w:val="00567E2E"/>
    <w:rsid w:val="00571279"/>
    <w:rsid w:val="0057728A"/>
    <w:rsid w:val="00584394"/>
    <w:rsid w:val="00585830"/>
    <w:rsid w:val="00585926"/>
    <w:rsid w:val="0059443D"/>
    <w:rsid w:val="00595016"/>
    <w:rsid w:val="005A1059"/>
    <w:rsid w:val="005A49C6"/>
    <w:rsid w:val="005C0BFA"/>
    <w:rsid w:val="005C2E27"/>
    <w:rsid w:val="005C76DC"/>
    <w:rsid w:val="005D015A"/>
    <w:rsid w:val="005D714A"/>
    <w:rsid w:val="005E11FC"/>
    <w:rsid w:val="005E1909"/>
    <w:rsid w:val="005E4C6D"/>
    <w:rsid w:val="005F2FDD"/>
    <w:rsid w:val="005F4FD5"/>
    <w:rsid w:val="00603D49"/>
    <w:rsid w:val="00604A58"/>
    <w:rsid w:val="00606612"/>
    <w:rsid w:val="00611566"/>
    <w:rsid w:val="00613169"/>
    <w:rsid w:val="00615523"/>
    <w:rsid w:val="00623740"/>
    <w:rsid w:val="00631939"/>
    <w:rsid w:val="00637A72"/>
    <w:rsid w:val="00646D99"/>
    <w:rsid w:val="006540DD"/>
    <w:rsid w:val="00655925"/>
    <w:rsid w:val="00656910"/>
    <w:rsid w:val="006574C0"/>
    <w:rsid w:val="00661A04"/>
    <w:rsid w:val="00661FD2"/>
    <w:rsid w:val="006654D2"/>
    <w:rsid w:val="006666A4"/>
    <w:rsid w:val="00672697"/>
    <w:rsid w:val="00686762"/>
    <w:rsid w:val="00694484"/>
    <w:rsid w:val="00696821"/>
    <w:rsid w:val="00696F37"/>
    <w:rsid w:val="006B117C"/>
    <w:rsid w:val="006B6DAA"/>
    <w:rsid w:val="006C2B5D"/>
    <w:rsid w:val="006C64E9"/>
    <w:rsid w:val="006C66D8"/>
    <w:rsid w:val="006D1E24"/>
    <w:rsid w:val="006D35DE"/>
    <w:rsid w:val="006E1417"/>
    <w:rsid w:val="006E3D08"/>
    <w:rsid w:val="006E4D0C"/>
    <w:rsid w:val="006E70EC"/>
    <w:rsid w:val="006E798D"/>
    <w:rsid w:val="006F061B"/>
    <w:rsid w:val="006F6A2C"/>
    <w:rsid w:val="00700EB8"/>
    <w:rsid w:val="007024F6"/>
    <w:rsid w:val="00705C59"/>
    <w:rsid w:val="007069DC"/>
    <w:rsid w:val="0070763F"/>
    <w:rsid w:val="00710201"/>
    <w:rsid w:val="0071337B"/>
    <w:rsid w:val="00717790"/>
    <w:rsid w:val="0072073A"/>
    <w:rsid w:val="007320CE"/>
    <w:rsid w:val="007342B5"/>
    <w:rsid w:val="00734A5B"/>
    <w:rsid w:val="00737DB7"/>
    <w:rsid w:val="0074318A"/>
    <w:rsid w:val="00744E76"/>
    <w:rsid w:val="007455B4"/>
    <w:rsid w:val="007458BA"/>
    <w:rsid w:val="00747E75"/>
    <w:rsid w:val="00750C83"/>
    <w:rsid w:val="00757D40"/>
    <w:rsid w:val="007662B5"/>
    <w:rsid w:val="00775DE5"/>
    <w:rsid w:val="007806CA"/>
    <w:rsid w:val="00781F0F"/>
    <w:rsid w:val="0078727C"/>
    <w:rsid w:val="007903C7"/>
    <w:rsid w:val="0079049D"/>
    <w:rsid w:val="0079194E"/>
    <w:rsid w:val="00793DC5"/>
    <w:rsid w:val="00796823"/>
    <w:rsid w:val="007A2E55"/>
    <w:rsid w:val="007A4C9A"/>
    <w:rsid w:val="007A7E97"/>
    <w:rsid w:val="007B18D8"/>
    <w:rsid w:val="007C095F"/>
    <w:rsid w:val="007C0A68"/>
    <w:rsid w:val="007C243C"/>
    <w:rsid w:val="007C2DD0"/>
    <w:rsid w:val="007C2FD7"/>
    <w:rsid w:val="007C337E"/>
    <w:rsid w:val="007C7A81"/>
    <w:rsid w:val="007D4804"/>
    <w:rsid w:val="007D661A"/>
    <w:rsid w:val="007F1324"/>
    <w:rsid w:val="007F2E08"/>
    <w:rsid w:val="007F52AA"/>
    <w:rsid w:val="007F76B2"/>
    <w:rsid w:val="00801B52"/>
    <w:rsid w:val="008028A4"/>
    <w:rsid w:val="00812A9E"/>
    <w:rsid w:val="00813245"/>
    <w:rsid w:val="00813D14"/>
    <w:rsid w:val="0082175E"/>
    <w:rsid w:val="00822D62"/>
    <w:rsid w:val="00826CC8"/>
    <w:rsid w:val="00833782"/>
    <w:rsid w:val="00834CE8"/>
    <w:rsid w:val="00840DE0"/>
    <w:rsid w:val="00846FA3"/>
    <w:rsid w:val="008557D7"/>
    <w:rsid w:val="008607A8"/>
    <w:rsid w:val="0086354A"/>
    <w:rsid w:val="0087147C"/>
    <w:rsid w:val="00873554"/>
    <w:rsid w:val="008761F1"/>
    <w:rsid w:val="008768CA"/>
    <w:rsid w:val="0087760D"/>
    <w:rsid w:val="00877EF9"/>
    <w:rsid w:val="00880559"/>
    <w:rsid w:val="008870C4"/>
    <w:rsid w:val="008B5306"/>
    <w:rsid w:val="008B58EF"/>
    <w:rsid w:val="008C0449"/>
    <w:rsid w:val="008C07D6"/>
    <w:rsid w:val="008C11AB"/>
    <w:rsid w:val="008C2E2A"/>
    <w:rsid w:val="008C3057"/>
    <w:rsid w:val="008C64FE"/>
    <w:rsid w:val="008D078B"/>
    <w:rsid w:val="008D1A22"/>
    <w:rsid w:val="008D2E4D"/>
    <w:rsid w:val="008F396F"/>
    <w:rsid w:val="008F3DCD"/>
    <w:rsid w:val="008F454D"/>
    <w:rsid w:val="008F5BA6"/>
    <w:rsid w:val="008F64F2"/>
    <w:rsid w:val="0090011B"/>
    <w:rsid w:val="00900F58"/>
    <w:rsid w:val="009018E3"/>
    <w:rsid w:val="0090271F"/>
    <w:rsid w:val="00902DB9"/>
    <w:rsid w:val="0090466A"/>
    <w:rsid w:val="00904D57"/>
    <w:rsid w:val="009056E5"/>
    <w:rsid w:val="009176AC"/>
    <w:rsid w:val="009177F4"/>
    <w:rsid w:val="00921415"/>
    <w:rsid w:val="00923655"/>
    <w:rsid w:val="00923740"/>
    <w:rsid w:val="00936071"/>
    <w:rsid w:val="009376CD"/>
    <w:rsid w:val="00940212"/>
    <w:rsid w:val="009417BB"/>
    <w:rsid w:val="00942EC2"/>
    <w:rsid w:val="0094547C"/>
    <w:rsid w:val="009474E1"/>
    <w:rsid w:val="00957581"/>
    <w:rsid w:val="00960B28"/>
    <w:rsid w:val="00961B32"/>
    <w:rsid w:val="00962509"/>
    <w:rsid w:val="009646B5"/>
    <w:rsid w:val="00970DB3"/>
    <w:rsid w:val="00971375"/>
    <w:rsid w:val="00973626"/>
    <w:rsid w:val="00974BB0"/>
    <w:rsid w:val="00975BCD"/>
    <w:rsid w:val="00976FEB"/>
    <w:rsid w:val="009813B8"/>
    <w:rsid w:val="00991325"/>
    <w:rsid w:val="009928A9"/>
    <w:rsid w:val="009941B2"/>
    <w:rsid w:val="0099488A"/>
    <w:rsid w:val="009A0AF3"/>
    <w:rsid w:val="009B0591"/>
    <w:rsid w:val="009B07CD"/>
    <w:rsid w:val="009B26F3"/>
    <w:rsid w:val="009B5E29"/>
    <w:rsid w:val="009C0260"/>
    <w:rsid w:val="009C19E9"/>
    <w:rsid w:val="009D74A6"/>
    <w:rsid w:val="009E0BBC"/>
    <w:rsid w:val="009E0E87"/>
    <w:rsid w:val="009E18B7"/>
    <w:rsid w:val="009F5D7E"/>
    <w:rsid w:val="00A03CBE"/>
    <w:rsid w:val="00A10F02"/>
    <w:rsid w:val="00A15270"/>
    <w:rsid w:val="00A204CA"/>
    <w:rsid w:val="00A209D6"/>
    <w:rsid w:val="00A22738"/>
    <w:rsid w:val="00A26439"/>
    <w:rsid w:val="00A3167F"/>
    <w:rsid w:val="00A358EE"/>
    <w:rsid w:val="00A3679C"/>
    <w:rsid w:val="00A430EC"/>
    <w:rsid w:val="00A44391"/>
    <w:rsid w:val="00A51408"/>
    <w:rsid w:val="00A53724"/>
    <w:rsid w:val="00A54827"/>
    <w:rsid w:val="00A54B2B"/>
    <w:rsid w:val="00A56E2A"/>
    <w:rsid w:val="00A60B01"/>
    <w:rsid w:val="00A76CE6"/>
    <w:rsid w:val="00A77903"/>
    <w:rsid w:val="00A82346"/>
    <w:rsid w:val="00A84AD3"/>
    <w:rsid w:val="00A9671C"/>
    <w:rsid w:val="00A96CE5"/>
    <w:rsid w:val="00AA1553"/>
    <w:rsid w:val="00AA2672"/>
    <w:rsid w:val="00AB1C1D"/>
    <w:rsid w:val="00AB3FFE"/>
    <w:rsid w:val="00AB58B2"/>
    <w:rsid w:val="00AB6A10"/>
    <w:rsid w:val="00AC0DED"/>
    <w:rsid w:val="00AC28A8"/>
    <w:rsid w:val="00AC330F"/>
    <w:rsid w:val="00AC33E4"/>
    <w:rsid w:val="00AC45D6"/>
    <w:rsid w:val="00AD6599"/>
    <w:rsid w:val="00AE544D"/>
    <w:rsid w:val="00AE67E6"/>
    <w:rsid w:val="00AF5554"/>
    <w:rsid w:val="00B05380"/>
    <w:rsid w:val="00B05962"/>
    <w:rsid w:val="00B06CB2"/>
    <w:rsid w:val="00B112BC"/>
    <w:rsid w:val="00B15449"/>
    <w:rsid w:val="00B16C2F"/>
    <w:rsid w:val="00B23933"/>
    <w:rsid w:val="00B27303"/>
    <w:rsid w:val="00B27A6C"/>
    <w:rsid w:val="00B4091F"/>
    <w:rsid w:val="00B4635B"/>
    <w:rsid w:val="00B47FD1"/>
    <w:rsid w:val="00B516BB"/>
    <w:rsid w:val="00B543C6"/>
    <w:rsid w:val="00B62F01"/>
    <w:rsid w:val="00B6611C"/>
    <w:rsid w:val="00B71370"/>
    <w:rsid w:val="00B7538C"/>
    <w:rsid w:val="00B82F79"/>
    <w:rsid w:val="00B84DB2"/>
    <w:rsid w:val="00B87C1B"/>
    <w:rsid w:val="00BA0B58"/>
    <w:rsid w:val="00BA1475"/>
    <w:rsid w:val="00BA3590"/>
    <w:rsid w:val="00BB020E"/>
    <w:rsid w:val="00BB58A8"/>
    <w:rsid w:val="00BC0D1C"/>
    <w:rsid w:val="00BC3555"/>
    <w:rsid w:val="00BC53A5"/>
    <w:rsid w:val="00BD0F69"/>
    <w:rsid w:val="00BD4EC6"/>
    <w:rsid w:val="00BD5586"/>
    <w:rsid w:val="00BE22F4"/>
    <w:rsid w:val="00BE2BF3"/>
    <w:rsid w:val="00BE650E"/>
    <w:rsid w:val="00BF09B9"/>
    <w:rsid w:val="00C12B51"/>
    <w:rsid w:val="00C219A0"/>
    <w:rsid w:val="00C24650"/>
    <w:rsid w:val="00C25465"/>
    <w:rsid w:val="00C30C33"/>
    <w:rsid w:val="00C33079"/>
    <w:rsid w:val="00C366C2"/>
    <w:rsid w:val="00C454DF"/>
    <w:rsid w:val="00C467D2"/>
    <w:rsid w:val="00C516D9"/>
    <w:rsid w:val="00C55A12"/>
    <w:rsid w:val="00C63DF2"/>
    <w:rsid w:val="00C6553E"/>
    <w:rsid w:val="00C76C80"/>
    <w:rsid w:val="00C80783"/>
    <w:rsid w:val="00C83A13"/>
    <w:rsid w:val="00C855FF"/>
    <w:rsid w:val="00C86F10"/>
    <w:rsid w:val="00C9068C"/>
    <w:rsid w:val="00C91605"/>
    <w:rsid w:val="00C92967"/>
    <w:rsid w:val="00C958C5"/>
    <w:rsid w:val="00CA3D0C"/>
    <w:rsid w:val="00CA406C"/>
    <w:rsid w:val="00CA654B"/>
    <w:rsid w:val="00CA6C2C"/>
    <w:rsid w:val="00CA7CF9"/>
    <w:rsid w:val="00CB5236"/>
    <w:rsid w:val="00CB5C9D"/>
    <w:rsid w:val="00CB6F7F"/>
    <w:rsid w:val="00CB72B8"/>
    <w:rsid w:val="00CC6130"/>
    <w:rsid w:val="00CD0BA8"/>
    <w:rsid w:val="00CD169D"/>
    <w:rsid w:val="00CD4C7B"/>
    <w:rsid w:val="00CD58FE"/>
    <w:rsid w:val="00CE4375"/>
    <w:rsid w:val="00CF0EB1"/>
    <w:rsid w:val="00CF2D69"/>
    <w:rsid w:val="00CF3163"/>
    <w:rsid w:val="00CF48BF"/>
    <w:rsid w:val="00D06843"/>
    <w:rsid w:val="00D1252B"/>
    <w:rsid w:val="00D12FE1"/>
    <w:rsid w:val="00D13B4D"/>
    <w:rsid w:val="00D16D45"/>
    <w:rsid w:val="00D21890"/>
    <w:rsid w:val="00D25C0B"/>
    <w:rsid w:val="00D33BE3"/>
    <w:rsid w:val="00D36B7E"/>
    <w:rsid w:val="00D3792D"/>
    <w:rsid w:val="00D514EB"/>
    <w:rsid w:val="00D55E47"/>
    <w:rsid w:val="00D57FB6"/>
    <w:rsid w:val="00D62E19"/>
    <w:rsid w:val="00D67CD1"/>
    <w:rsid w:val="00D738D6"/>
    <w:rsid w:val="00D80795"/>
    <w:rsid w:val="00D841E5"/>
    <w:rsid w:val="00D854BE"/>
    <w:rsid w:val="00D87E00"/>
    <w:rsid w:val="00D9134D"/>
    <w:rsid w:val="00D9429F"/>
    <w:rsid w:val="00D95FEE"/>
    <w:rsid w:val="00D96D11"/>
    <w:rsid w:val="00DA17A4"/>
    <w:rsid w:val="00DA35E3"/>
    <w:rsid w:val="00DA3CC3"/>
    <w:rsid w:val="00DA4A5C"/>
    <w:rsid w:val="00DA7A03"/>
    <w:rsid w:val="00DB0DB8"/>
    <w:rsid w:val="00DB1818"/>
    <w:rsid w:val="00DB2386"/>
    <w:rsid w:val="00DB4BA9"/>
    <w:rsid w:val="00DC002B"/>
    <w:rsid w:val="00DC06F3"/>
    <w:rsid w:val="00DC309B"/>
    <w:rsid w:val="00DC4DA2"/>
    <w:rsid w:val="00DC5261"/>
    <w:rsid w:val="00DD3E12"/>
    <w:rsid w:val="00DD6D2B"/>
    <w:rsid w:val="00DE1B7E"/>
    <w:rsid w:val="00DE25D2"/>
    <w:rsid w:val="00DF2C5D"/>
    <w:rsid w:val="00DF64DF"/>
    <w:rsid w:val="00DF7F63"/>
    <w:rsid w:val="00E11964"/>
    <w:rsid w:val="00E16429"/>
    <w:rsid w:val="00E16F8B"/>
    <w:rsid w:val="00E17A57"/>
    <w:rsid w:val="00E240A9"/>
    <w:rsid w:val="00E42B60"/>
    <w:rsid w:val="00E46503"/>
    <w:rsid w:val="00E46C08"/>
    <w:rsid w:val="00E471CF"/>
    <w:rsid w:val="00E47F7B"/>
    <w:rsid w:val="00E6160F"/>
    <w:rsid w:val="00E62835"/>
    <w:rsid w:val="00E636DA"/>
    <w:rsid w:val="00E658DE"/>
    <w:rsid w:val="00E6761F"/>
    <w:rsid w:val="00E71047"/>
    <w:rsid w:val="00E74F44"/>
    <w:rsid w:val="00E77645"/>
    <w:rsid w:val="00E83697"/>
    <w:rsid w:val="00E859B6"/>
    <w:rsid w:val="00E90E37"/>
    <w:rsid w:val="00E94B0C"/>
    <w:rsid w:val="00EA66C9"/>
    <w:rsid w:val="00EB4628"/>
    <w:rsid w:val="00EB78E2"/>
    <w:rsid w:val="00EC2F1E"/>
    <w:rsid w:val="00EC4A25"/>
    <w:rsid w:val="00ED1627"/>
    <w:rsid w:val="00ED4E5E"/>
    <w:rsid w:val="00EE1BA8"/>
    <w:rsid w:val="00EF34F3"/>
    <w:rsid w:val="00EF612C"/>
    <w:rsid w:val="00F025A2"/>
    <w:rsid w:val="00F036E9"/>
    <w:rsid w:val="00F06FB4"/>
    <w:rsid w:val="00F07388"/>
    <w:rsid w:val="00F12A87"/>
    <w:rsid w:val="00F2026E"/>
    <w:rsid w:val="00F2210A"/>
    <w:rsid w:val="00F22996"/>
    <w:rsid w:val="00F263B8"/>
    <w:rsid w:val="00F267E0"/>
    <w:rsid w:val="00F31372"/>
    <w:rsid w:val="00F36A4E"/>
    <w:rsid w:val="00F37097"/>
    <w:rsid w:val="00F37743"/>
    <w:rsid w:val="00F40429"/>
    <w:rsid w:val="00F40A6D"/>
    <w:rsid w:val="00F4113D"/>
    <w:rsid w:val="00F51581"/>
    <w:rsid w:val="00F54A3D"/>
    <w:rsid w:val="00F54CB0"/>
    <w:rsid w:val="00F579CD"/>
    <w:rsid w:val="00F64585"/>
    <w:rsid w:val="00F653B8"/>
    <w:rsid w:val="00F70749"/>
    <w:rsid w:val="00F71B89"/>
    <w:rsid w:val="00F7353C"/>
    <w:rsid w:val="00F73CB1"/>
    <w:rsid w:val="00F757A1"/>
    <w:rsid w:val="00F76F8F"/>
    <w:rsid w:val="00F86527"/>
    <w:rsid w:val="00F941DF"/>
    <w:rsid w:val="00F9505C"/>
    <w:rsid w:val="00FA0EAE"/>
    <w:rsid w:val="00FA1266"/>
    <w:rsid w:val="00FA1DFB"/>
    <w:rsid w:val="00FB2B15"/>
    <w:rsid w:val="00FB36FA"/>
    <w:rsid w:val="00FC0D7D"/>
    <w:rsid w:val="00FC1192"/>
    <w:rsid w:val="00FC252D"/>
    <w:rsid w:val="00FC4A00"/>
    <w:rsid w:val="00FD50BE"/>
    <w:rsid w:val="00FD6C73"/>
    <w:rsid w:val="00FE106D"/>
    <w:rsid w:val="00FE251B"/>
    <w:rsid w:val="00FF09D2"/>
    <w:rsid w:val="00FF4E0C"/>
    <w:rsid w:val="33638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8D568364-8719-4A67-81A8-72E0F79E02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character" w:styleId="HeaderChar" w:customStyle="1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styleId="CRCoverPage" w:customStyle="1">
    <w:name w:val="CR Cover Page"/>
    <w:rsid w:val="00CD4C7B"/>
    <w:pPr>
      <w:spacing w:after="120"/>
    </w:pPr>
    <w:rPr>
      <w:rFonts w:ascii="Arial" w:hAnsi="Arial" w:eastAsia="MS Mincho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B7137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B7324"/>
    <w:pPr>
      <w:ind w:left="720"/>
      <w:contextualSpacing/>
    </w:pPr>
  </w:style>
  <w:style w:type="character" w:styleId="CommentReference">
    <w:name w:val="annotation reference"/>
    <w:basedOn w:val="DefaultParagraphFont"/>
    <w:rsid w:val="006B6D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6DAA"/>
  </w:style>
  <w:style w:type="character" w:styleId="CommentTextChar" w:customStyle="1">
    <w:name w:val="Comment Text Char"/>
    <w:basedOn w:val="DefaultParagraphFont"/>
    <w:link w:val="CommentText"/>
    <w:rsid w:val="006B6DA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B6DAA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6B6DAA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C855FF"/>
    <w:pPr>
      <w:spacing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81620"/>
    <w:rPr>
      <w:color w:val="2B579A"/>
      <w:shd w:val="clear" w:color="auto" w:fill="E1DFDD"/>
    </w:rPr>
  </w:style>
  <w:style w:type="character" w:styleId="normaltextrun" w:customStyle="1">
    <w:name w:val="normaltextrun"/>
    <w:basedOn w:val="DefaultParagraphFont"/>
    <w:rsid w:val="00B4091F"/>
  </w:style>
  <w:style w:type="character" w:styleId="ListParagraphChar" w:customStyle="1">
    <w:name w:val="List Paragraph Char"/>
    <w:link w:val="ListParagraph"/>
    <w:uiPriority w:val="34"/>
    <w:qFormat/>
    <w:locked/>
    <w:rsid w:val="008C04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5AIRPNAIUNRU-859666464-9331</_dlc_DocId>
    <_dlc_DocIdUrl xmlns="71c5aaf6-e6ce-465b-b873-5148d2a4c105">
      <Url>https://nokia.sharepoint.com/sites/c5g/e2earch/_layouts/15/DocIdRedir.aspx?ID=5AIRPNAIUNRU-859666464-9331</Url>
      <Description>5AIRPNAIUNRU-859666464-9331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40FBC0-AF5B-4F70-99B3-B58B8A9F99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1291</TotalTime>
  <Pages>2</Pages>
  <Words>755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4718</CharactersWithSpaces>
  <SharedDoc>false</SharedDoc>
  <HyperlinkBase/>
  <HLinks>
    <vt:vector size="6" baseType="variant"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C:\Users\stanczak\Data\3GPP\Extracts\R2-2100744.doc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Stanczak, Jedrzej (Nokia - PL/Wroclaw)</cp:lastModifiedBy>
  <cp:revision>390</cp:revision>
  <dcterms:created xsi:type="dcterms:W3CDTF">2021-03-16T12:34:00Z</dcterms:created>
  <dcterms:modified xsi:type="dcterms:W3CDTF">2021-08-05T14:22:00Z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74c51e44-f769-45c6-a871-a628e4765ce9</vt:lpwstr>
  </property>
</Properties>
</file>